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9E3" w:rsidRDefault="006309E3" w:rsidP="006309E3">
      <w:pPr>
        <w:jc w:val="center"/>
        <w:rPr>
          <w:rFonts w:cstheme="minorHAnsi"/>
          <w:sz w:val="28"/>
          <w:szCs w:val="28"/>
        </w:rPr>
      </w:pPr>
    </w:p>
    <w:p w:rsidR="006309E3" w:rsidRDefault="006309E3" w:rsidP="006309E3">
      <w:pPr>
        <w:jc w:val="center"/>
        <w:rPr>
          <w:rFonts w:cstheme="minorHAnsi"/>
          <w:sz w:val="28"/>
          <w:szCs w:val="28"/>
        </w:rPr>
      </w:pPr>
    </w:p>
    <w:p w:rsidR="006309E3" w:rsidRDefault="006309E3" w:rsidP="006309E3">
      <w:pPr>
        <w:jc w:val="center"/>
        <w:rPr>
          <w:rFonts w:cstheme="minorHAnsi"/>
          <w:sz w:val="28"/>
          <w:szCs w:val="28"/>
        </w:rPr>
      </w:pPr>
    </w:p>
    <w:p w:rsidR="006309E3" w:rsidRDefault="006309E3" w:rsidP="006309E3">
      <w:pPr>
        <w:jc w:val="center"/>
        <w:rPr>
          <w:rFonts w:cstheme="minorHAnsi"/>
          <w:sz w:val="28"/>
          <w:szCs w:val="28"/>
        </w:rPr>
      </w:pPr>
    </w:p>
    <w:p w:rsidR="006309E3" w:rsidRPr="006309E3" w:rsidRDefault="006309E3" w:rsidP="006309E3">
      <w:pPr>
        <w:jc w:val="center"/>
        <w:rPr>
          <w:rFonts w:cstheme="minorHAnsi"/>
          <w:sz w:val="96"/>
          <w:szCs w:val="96"/>
        </w:rPr>
      </w:pPr>
      <w:r w:rsidRPr="006309E3">
        <w:rPr>
          <w:rFonts w:cstheme="minorHAnsi"/>
          <w:sz w:val="96"/>
          <w:szCs w:val="96"/>
        </w:rPr>
        <w:t xml:space="preserve">Checkliste </w:t>
      </w:r>
    </w:p>
    <w:p w:rsidR="006309E3" w:rsidRPr="006309E3" w:rsidRDefault="006309E3" w:rsidP="006309E3">
      <w:pPr>
        <w:jc w:val="center"/>
        <w:rPr>
          <w:rFonts w:cstheme="minorHAnsi"/>
          <w:sz w:val="96"/>
          <w:szCs w:val="96"/>
        </w:rPr>
      </w:pPr>
      <w:r w:rsidRPr="006309E3">
        <w:rPr>
          <w:rFonts w:cstheme="minorHAnsi"/>
          <w:sz w:val="96"/>
          <w:szCs w:val="96"/>
        </w:rPr>
        <w:t xml:space="preserve">Kriterien / Unterlagen </w:t>
      </w:r>
    </w:p>
    <w:p w:rsidR="006309E3" w:rsidRDefault="006309E3" w:rsidP="006309E3">
      <w:pPr>
        <w:jc w:val="center"/>
        <w:rPr>
          <w:rFonts w:cstheme="minorHAnsi"/>
          <w:sz w:val="28"/>
          <w:szCs w:val="28"/>
        </w:rPr>
      </w:pPr>
      <w:r w:rsidRPr="006309E3">
        <w:rPr>
          <w:rFonts w:cstheme="minorHAnsi"/>
          <w:sz w:val="96"/>
          <w:szCs w:val="96"/>
        </w:rPr>
        <w:t>Kanton Härtefallantrag</w:t>
      </w:r>
      <w:r>
        <w:rPr>
          <w:rFonts w:cstheme="minorHAnsi"/>
          <w:sz w:val="28"/>
          <w:szCs w:val="28"/>
        </w:rPr>
        <w:br w:type="page"/>
      </w:r>
    </w:p>
    <w:p w:rsidR="006309E3" w:rsidRPr="006309E3" w:rsidRDefault="006309E3">
      <w:pPr>
        <w:rPr>
          <w:rFonts w:cstheme="minorHAnsi"/>
          <w:sz w:val="28"/>
          <w:szCs w:val="28"/>
        </w:rPr>
      </w:pPr>
    </w:p>
    <w:tbl>
      <w:tblPr>
        <w:tblW w:w="10490" w:type="dxa"/>
        <w:tblInd w:w="-5" w:type="dxa"/>
        <w:tblCellMar>
          <w:left w:w="70" w:type="dxa"/>
          <w:right w:w="70" w:type="dxa"/>
        </w:tblCellMar>
        <w:tblLook w:val="04A0" w:firstRow="1" w:lastRow="0" w:firstColumn="1" w:lastColumn="0" w:noHBand="0" w:noVBand="1"/>
      </w:tblPr>
      <w:tblGrid>
        <w:gridCol w:w="6946"/>
        <w:gridCol w:w="1701"/>
        <w:gridCol w:w="1843"/>
      </w:tblGrid>
      <w:tr w:rsidR="001A0042" w:rsidRPr="001A0042" w:rsidTr="006309E3">
        <w:trPr>
          <w:trHeight w:val="20"/>
        </w:trPr>
        <w:tc>
          <w:tcPr>
            <w:tcW w:w="694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b/>
                <w:bCs/>
                <w:color w:val="000000"/>
                <w:sz w:val="28"/>
                <w:szCs w:val="28"/>
                <w:lang w:eastAsia="de-CH"/>
              </w:rPr>
            </w:pPr>
            <w:r w:rsidRPr="001A0042">
              <w:rPr>
                <w:rFonts w:eastAsia="Times New Roman" w:cstheme="minorHAnsi"/>
                <w:b/>
                <w:bCs/>
                <w:color w:val="000000"/>
                <w:sz w:val="28"/>
                <w:szCs w:val="28"/>
                <w:lang w:eastAsia="de-CH"/>
              </w:rPr>
              <w:t>Kriterien</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hideMark/>
          </w:tcPr>
          <w:p w:rsidR="001A0042" w:rsidRPr="001A0042" w:rsidRDefault="001A0042" w:rsidP="001A0042">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Wer</w:t>
            </w:r>
          </w:p>
        </w:tc>
        <w:tc>
          <w:tcPr>
            <w:tcW w:w="1843" w:type="dxa"/>
            <w:tcBorders>
              <w:top w:val="single" w:sz="4" w:space="0" w:color="auto"/>
              <w:left w:val="nil"/>
              <w:bottom w:val="single" w:sz="4" w:space="0" w:color="auto"/>
              <w:right w:val="single" w:sz="4" w:space="0" w:color="auto"/>
            </w:tcBorders>
            <w:shd w:val="clear" w:color="auto" w:fill="A8D08D" w:themeFill="accent6" w:themeFillTint="99"/>
            <w:noWrap/>
            <w:hideMark/>
          </w:tcPr>
          <w:p w:rsidR="001A0042" w:rsidRPr="001A0042" w:rsidRDefault="001A0042" w:rsidP="001A0042">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Erledigt</w:t>
            </w:r>
          </w:p>
        </w:tc>
      </w:tr>
      <w:tr w:rsidR="001A0042" w:rsidRPr="001A0042" w:rsidTr="006309E3">
        <w:trPr>
          <w:trHeight w:val="20"/>
        </w:trPr>
        <w:tc>
          <w:tcPr>
            <w:tcW w:w="6946" w:type="dxa"/>
            <w:tcBorders>
              <w:top w:val="nil"/>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Verwenden Sie die Akkordeon-Bedienelemente, um die Sichtbarkeit der jeweiligen Panels (unterhalb der Bedienelemente) umzuschalten.</w:t>
            </w:r>
          </w:p>
        </w:tc>
        <w:tc>
          <w:tcPr>
            <w:tcW w:w="1701" w:type="dxa"/>
            <w:tcBorders>
              <w:top w:val="nil"/>
              <w:left w:val="nil"/>
              <w:bottom w:val="single" w:sz="4" w:space="0" w:color="auto"/>
              <w:right w:val="single" w:sz="4" w:space="0" w:color="auto"/>
            </w:tcBorders>
            <w:shd w:val="clear" w:color="auto" w:fill="A8D08D" w:themeFill="accent6" w:themeFillTint="99"/>
            <w:noWrap/>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6309E3">
        <w:trPr>
          <w:trHeight w:val="20"/>
        </w:trPr>
        <w:tc>
          <w:tcPr>
            <w:tcW w:w="6946" w:type="dxa"/>
            <w:tcBorders>
              <w:top w:val="nil"/>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b/>
                <w:bCs/>
                <w:color w:val="000000"/>
                <w:sz w:val="28"/>
                <w:szCs w:val="28"/>
                <w:lang w:eastAsia="de-CH"/>
              </w:rPr>
            </w:pPr>
            <w:r w:rsidRPr="001A0042">
              <w:rPr>
                <w:rFonts w:eastAsia="Times New Roman" w:cstheme="minorHAnsi"/>
                <w:b/>
                <w:bCs/>
                <w:color w:val="000000"/>
                <w:sz w:val="28"/>
                <w:szCs w:val="28"/>
                <w:lang w:eastAsia="de-CH"/>
              </w:rPr>
              <w:t>Wichtigste Kriterien für mögliche Beiträge</w:t>
            </w:r>
          </w:p>
        </w:tc>
        <w:tc>
          <w:tcPr>
            <w:tcW w:w="1701" w:type="dxa"/>
            <w:tcBorders>
              <w:top w:val="nil"/>
              <w:left w:val="nil"/>
              <w:bottom w:val="single" w:sz="4" w:space="0" w:color="auto"/>
              <w:right w:val="single" w:sz="4" w:space="0" w:color="auto"/>
            </w:tcBorders>
            <w:shd w:val="clear" w:color="auto" w:fill="A8D08D" w:themeFill="accent6" w:themeFillTint="99"/>
            <w:noWrap/>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A8D08D" w:themeFill="accent6" w:themeFillTint="99"/>
            <w:noWrap/>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Das Unternehmen wurde vor dem 1. März 2020 ins Handelsregister eingetragen oder vor dem 1. März 2020 gegründet.</w:t>
            </w:r>
          </w:p>
        </w:tc>
        <w:tc>
          <w:tcPr>
            <w:tcW w:w="1701" w:type="dxa"/>
            <w:tcBorders>
              <w:top w:val="nil"/>
              <w:left w:val="nil"/>
              <w:bottom w:val="single" w:sz="4" w:space="0" w:color="auto"/>
              <w:right w:val="single" w:sz="4" w:space="0" w:color="auto"/>
            </w:tcBorders>
            <w:shd w:val="clear" w:color="auto" w:fill="auto"/>
            <w:noWrap/>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1A0042" w:rsidRPr="001A0042" w:rsidRDefault="001A0042" w:rsidP="001A0042">
            <w:pPr>
              <w:spacing w:after="0" w:line="240" w:lineRule="auto"/>
              <w:rPr>
                <w:rFonts w:eastAsia="Times New Roman" w:cstheme="minorHAnsi"/>
                <w:color w:val="000000"/>
                <w:sz w:val="28"/>
                <w:szCs w:val="28"/>
                <w:lang w:eastAsia="de-CH"/>
              </w:rPr>
            </w:pPr>
            <w:bookmarkStart w:id="0" w:name="_GoBack"/>
            <w:bookmarkEnd w:id="0"/>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 xml:space="preserve">Der Geschäftssitz des Unternehmens befand sich am 1. Oktober </w:t>
            </w:r>
            <w:proofErr w:type="gramStart"/>
            <w:r w:rsidRPr="001A0042">
              <w:rPr>
                <w:rFonts w:eastAsia="Times New Roman" w:cstheme="minorHAnsi"/>
                <w:color w:val="000000"/>
                <w:sz w:val="28"/>
                <w:szCs w:val="28"/>
                <w:lang w:eastAsia="de-CH"/>
              </w:rPr>
              <w:t>2020  im</w:t>
            </w:r>
            <w:proofErr w:type="gramEnd"/>
            <w:r w:rsidRPr="001A0042">
              <w:rPr>
                <w:rFonts w:eastAsia="Times New Roman" w:cstheme="minorHAnsi"/>
                <w:color w:val="000000"/>
                <w:sz w:val="28"/>
                <w:szCs w:val="28"/>
                <w:lang w:eastAsia="de-CH"/>
              </w:rPr>
              <w:t xml:space="preserve"> Kanton Zürich.</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 xml:space="preserve">Das Unternehmen übt im Kanton Zürich eine Geschäftstätigkeit aus oder </w:t>
            </w:r>
            <w:proofErr w:type="gramStart"/>
            <w:r w:rsidRPr="001A0042">
              <w:rPr>
                <w:rFonts w:eastAsia="Times New Roman" w:cstheme="minorHAnsi"/>
                <w:color w:val="000000"/>
                <w:sz w:val="28"/>
                <w:szCs w:val="28"/>
                <w:lang w:eastAsia="de-CH"/>
              </w:rPr>
              <w:t>beschäftigt</w:t>
            </w:r>
            <w:proofErr w:type="gramEnd"/>
            <w:r w:rsidRPr="001A0042">
              <w:rPr>
                <w:rFonts w:eastAsia="Times New Roman" w:cstheme="minorHAnsi"/>
                <w:color w:val="000000"/>
                <w:sz w:val="28"/>
                <w:szCs w:val="28"/>
                <w:lang w:eastAsia="de-CH"/>
              </w:rPr>
              <w:t xml:space="preserve"> eigenes Personal und die Lohnkosten fallen überwiegend in der Schweiz an.</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Der Umsatz betrug im Durchschnitt der Jahre 2018 und 2019 mindestens 50'000 Franken.</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Der Umsatz lag 2020 unter 50 Prozent des Durchschnitts von 2018 und 2019. In den Umsatz einzurechnen sind Entschädigungen aus Kurzarbeit und Erwerbsersatz.</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Das Unternehmen muss nachvollziehbar darlegen, dass der Umsatzrückgang vollumfänglich direkt auf Massnahmen der Schweizer Behörden in Zusammenhang mit Covid-19 zurückzuführen ist.</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Aus dem Umsatzrückgang resultiert am Jahresende ein Anteil an Fixkosten, der die Überlebensfähigkeit des Unternehmens gefährdet</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Das Unternehmen war zwischen dem 1. Januar 2019 und dem 31. Dezember 2019 nicht überschuldet.</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Es befand sich am 15. März 2020 nicht in einem Betreibungsverfahren für Sozialversicherungsbeiträge.</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9D1738"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9D1738" w:rsidRPr="001A0042" w:rsidRDefault="009D1738" w:rsidP="009D1738">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Es befindet sich zum Zeitpunkt der Gesucheinreichung nicht in einem Konkursverfahren oder in Liquidation und kann seine Überlebensfähigkeit glaubhaft aufzeigen.</w:t>
            </w:r>
          </w:p>
        </w:tc>
        <w:tc>
          <w:tcPr>
            <w:tcW w:w="1701" w:type="dxa"/>
            <w:tcBorders>
              <w:top w:val="nil"/>
              <w:left w:val="nil"/>
              <w:bottom w:val="single" w:sz="4" w:space="0" w:color="auto"/>
              <w:right w:val="single" w:sz="4" w:space="0" w:color="auto"/>
            </w:tcBorders>
            <w:shd w:val="clear" w:color="auto" w:fill="auto"/>
            <w:noWrap/>
            <w:hideMark/>
          </w:tcPr>
          <w:p w:rsidR="009D1738" w:rsidRPr="001A0042" w:rsidRDefault="009D1738" w:rsidP="009D1738">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9D1738" w:rsidRPr="001A0042" w:rsidRDefault="009D1738" w:rsidP="009D1738">
            <w:pPr>
              <w:spacing w:after="0" w:line="240" w:lineRule="auto"/>
              <w:rPr>
                <w:rFonts w:eastAsia="Times New Roman" w:cstheme="minorHAnsi"/>
                <w:color w:val="000000"/>
                <w:sz w:val="28"/>
                <w:szCs w:val="28"/>
                <w:lang w:eastAsia="de-CH"/>
              </w:rPr>
            </w:pPr>
          </w:p>
        </w:tc>
      </w:tr>
      <w:tr w:rsidR="001A0042" w:rsidRPr="001A0042" w:rsidTr="00E90CC3">
        <w:trPr>
          <w:trHeight w:val="20"/>
        </w:trPr>
        <w:tc>
          <w:tcPr>
            <w:tcW w:w="6946"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Das Unternehmen hat keinen Anspruch auf andere branchenspezifische Covid-19-Finanzhilfen des Bundes (ohne Kurzarbeitsentschädigung, Erwerbsersatz und Kredite gemäss Covid-19-Solidarbürgschaftsverordnung und Covid-19-Solidarbürgschaftsgesetz), ausser es kann eine klar abgetrennte Spartenrechnung vorlegen. </w:t>
            </w:r>
          </w:p>
        </w:tc>
        <w:tc>
          <w:tcPr>
            <w:tcW w:w="1701" w:type="dxa"/>
            <w:tcBorders>
              <w:top w:val="nil"/>
              <w:left w:val="nil"/>
              <w:bottom w:val="single" w:sz="4" w:space="0" w:color="auto"/>
              <w:right w:val="single" w:sz="4" w:space="0" w:color="auto"/>
            </w:tcBorders>
            <w:shd w:val="clear" w:color="auto" w:fill="auto"/>
            <w:noWrap/>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1843" w:type="dxa"/>
            <w:tcBorders>
              <w:top w:val="nil"/>
              <w:left w:val="nil"/>
              <w:bottom w:val="single" w:sz="4" w:space="0" w:color="auto"/>
              <w:right w:val="single" w:sz="4" w:space="0" w:color="auto"/>
            </w:tcBorders>
            <w:shd w:val="clear" w:color="auto" w:fill="E2EFD9" w:themeFill="accent6" w:themeFillTint="33"/>
            <w:noWrap/>
          </w:tcPr>
          <w:p w:rsidR="001A0042" w:rsidRPr="001A0042" w:rsidRDefault="001A0042" w:rsidP="001A0042">
            <w:pPr>
              <w:spacing w:after="0" w:line="240" w:lineRule="auto"/>
              <w:rPr>
                <w:rFonts w:eastAsia="Times New Roman" w:cstheme="minorHAnsi"/>
                <w:color w:val="000000"/>
                <w:sz w:val="28"/>
                <w:szCs w:val="28"/>
                <w:lang w:eastAsia="de-CH"/>
              </w:rPr>
            </w:pPr>
          </w:p>
        </w:tc>
      </w:tr>
    </w:tbl>
    <w:p w:rsidR="001A0042" w:rsidRPr="006309E3" w:rsidRDefault="001A0042">
      <w:pPr>
        <w:rPr>
          <w:rFonts w:cstheme="minorHAnsi"/>
          <w:sz w:val="28"/>
          <w:szCs w:val="28"/>
        </w:rPr>
      </w:pPr>
    </w:p>
    <w:p w:rsidR="001A0042" w:rsidRPr="006309E3" w:rsidRDefault="001A0042">
      <w:pPr>
        <w:rPr>
          <w:rFonts w:cstheme="minorHAnsi"/>
          <w:sz w:val="28"/>
          <w:szCs w:val="28"/>
        </w:rPr>
      </w:pPr>
      <w:r w:rsidRPr="006309E3">
        <w:rPr>
          <w:rFonts w:cstheme="minorHAnsi"/>
          <w:sz w:val="28"/>
          <w:szCs w:val="28"/>
        </w:rPr>
        <w:br w:type="page"/>
      </w:r>
    </w:p>
    <w:p w:rsidR="001A0042" w:rsidRPr="006309E3" w:rsidRDefault="001A0042">
      <w:pPr>
        <w:rPr>
          <w:rFonts w:cstheme="minorHAnsi"/>
          <w:sz w:val="28"/>
          <w:szCs w:val="28"/>
        </w:rPr>
      </w:pPr>
    </w:p>
    <w:tbl>
      <w:tblPr>
        <w:tblW w:w="10632" w:type="dxa"/>
        <w:tblInd w:w="-5" w:type="dxa"/>
        <w:tblCellMar>
          <w:left w:w="70" w:type="dxa"/>
          <w:right w:w="70" w:type="dxa"/>
        </w:tblCellMar>
        <w:tblLook w:val="04A0" w:firstRow="1" w:lastRow="0" w:firstColumn="1" w:lastColumn="0" w:noHBand="0" w:noVBand="1"/>
      </w:tblPr>
      <w:tblGrid>
        <w:gridCol w:w="7833"/>
        <w:gridCol w:w="1701"/>
        <w:gridCol w:w="1098"/>
      </w:tblGrid>
      <w:tr w:rsidR="001A0042" w:rsidRPr="001A0042" w:rsidTr="001A0042">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b/>
                <w:bCs/>
                <w:color w:val="000000"/>
                <w:sz w:val="28"/>
                <w:szCs w:val="28"/>
                <w:lang w:eastAsia="de-CH"/>
              </w:rPr>
            </w:pPr>
            <w:r w:rsidRPr="001A0042">
              <w:rPr>
                <w:rFonts w:eastAsia="Times New Roman" w:cstheme="minorHAnsi"/>
                <w:b/>
                <w:bCs/>
                <w:color w:val="000000"/>
                <w:sz w:val="28"/>
                <w:szCs w:val="28"/>
                <w:lang w:eastAsia="de-CH"/>
              </w:rPr>
              <w:t>Notwendige Belege</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1A0042" w:rsidRPr="001A0042" w:rsidRDefault="00FD3B61" w:rsidP="001A0042">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Wer</w:t>
            </w:r>
          </w:p>
        </w:tc>
        <w:tc>
          <w:tcPr>
            <w:tcW w:w="993"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1A0042" w:rsidRPr="001A0042" w:rsidRDefault="00FD3B61" w:rsidP="001A0042">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Erledigt</w:t>
            </w:r>
            <w:r w:rsidR="001A0042" w:rsidRPr="001A0042">
              <w:rPr>
                <w:rFonts w:eastAsia="Times New Roman" w:cstheme="minorHAnsi"/>
                <w:b/>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xml:space="preserve">Für die </w:t>
            </w:r>
            <w:proofErr w:type="spellStart"/>
            <w:r w:rsidRPr="001A0042">
              <w:rPr>
                <w:rFonts w:eastAsia="Times New Roman" w:cstheme="minorHAnsi"/>
                <w:color w:val="000000"/>
                <w:sz w:val="28"/>
                <w:szCs w:val="28"/>
                <w:lang w:eastAsia="de-CH"/>
              </w:rPr>
              <w:t>Gesuchseinreichung</w:t>
            </w:r>
            <w:proofErr w:type="spellEnd"/>
            <w:r w:rsidRPr="001A0042">
              <w:rPr>
                <w:rFonts w:eastAsia="Times New Roman" w:cstheme="minorHAnsi"/>
                <w:color w:val="000000"/>
                <w:sz w:val="28"/>
                <w:szCs w:val="28"/>
                <w:lang w:eastAsia="de-CH"/>
              </w:rPr>
              <w:t xml:space="preserve"> benötigen Sie die folgenden Belege in elektronischer </w:t>
            </w:r>
            <w:proofErr w:type="gramStart"/>
            <w:r w:rsidRPr="001A0042">
              <w:rPr>
                <w:rFonts w:eastAsia="Times New Roman" w:cstheme="minorHAnsi"/>
                <w:color w:val="000000"/>
                <w:sz w:val="28"/>
                <w:szCs w:val="28"/>
                <w:lang w:eastAsia="de-CH"/>
              </w:rPr>
              <w:t>Form :</w:t>
            </w:r>
            <w:proofErr w:type="gramEnd"/>
          </w:p>
        </w:tc>
        <w:tc>
          <w:tcPr>
            <w:tcW w:w="1701" w:type="dxa"/>
            <w:tcBorders>
              <w:top w:val="nil"/>
              <w:left w:val="nil"/>
              <w:bottom w:val="single" w:sz="4" w:space="0" w:color="auto"/>
              <w:right w:val="single" w:sz="4" w:space="0" w:color="auto"/>
            </w:tcBorders>
            <w:shd w:val="clear" w:color="auto" w:fill="A8D08D" w:themeFill="accent6" w:themeFillTint="99"/>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8D08D" w:themeFill="accent6" w:themeFillTint="99"/>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Verwenden Sie die Akkordeon-Bedienelemente, um die Sichtbarkeit der jeweiligen Panels (unterhalb der Bedienelemente) umzuschalten.</w:t>
            </w:r>
          </w:p>
        </w:tc>
        <w:tc>
          <w:tcPr>
            <w:tcW w:w="1701" w:type="dxa"/>
            <w:tcBorders>
              <w:top w:val="nil"/>
              <w:left w:val="nil"/>
              <w:bottom w:val="single" w:sz="4" w:space="0" w:color="auto"/>
              <w:right w:val="single" w:sz="4" w:space="0" w:color="auto"/>
            </w:tcBorders>
            <w:shd w:val="clear" w:color="auto" w:fill="A8D08D" w:themeFill="accent6" w:themeFillTint="99"/>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8D08D" w:themeFill="accent6" w:themeFillTint="99"/>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FD3B61">
        <w:trPr>
          <w:trHeight w:val="20"/>
        </w:trPr>
        <w:tc>
          <w:tcPr>
            <w:tcW w:w="7938" w:type="dxa"/>
            <w:tcBorders>
              <w:top w:val="nil"/>
              <w:left w:val="single" w:sz="4" w:space="0" w:color="auto"/>
              <w:bottom w:val="single" w:sz="4" w:space="0" w:color="auto"/>
              <w:right w:val="single" w:sz="4" w:space="0" w:color="auto"/>
            </w:tcBorders>
            <w:shd w:val="clear" w:color="auto" w:fill="A8D08D" w:themeFill="accent6" w:themeFillTint="99"/>
            <w:hideMark/>
          </w:tcPr>
          <w:p w:rsidR="001A0042" w:rsidRPr="001A0042" w:rsidRDefault="001A0042" w:rsidP="001A0042">
            <w:pPr>
              <w:spacing w:after="0" w:line="240" w:lineRule="auto"/>
              <w:rPr>
                <w:rFonts w:eastAsia="Times New Roman" w:cstheme="minorHAnsi"/>
                <w:b/>
                <w:bCs/>
                <w:color w:val="000000"/>
                <w:sz w:val="28"/>
                <w:szCs w:val="28"/>
                <w:lang w:eastAsia="de-CH"/>
              </w:rPr>
            </w:pPr>
            <w:r w:rsidRPr="001A0042">
              <w:rPr>
                <w:rFonts w:eastAsia="Times New Roman" w:cstheme="minorHAnsi"/>
                <w:b/>
                <w:bCs/>
                <w:color w:val="000000"/>
                <w:sz w:val="28"/>
                <w:szCs w:val="28"/>
                <w:lang w:eastAsia="de-CH"/>
              </w:rPr>
              <w:t>Alle Unternehmen</w:t>
            </w:r>
          </w:p>
        </w:tc>
        <w:tc>
          <w:tcPr>
            <w:tcW w:w="1701" w:type="dxa"/>
            <w:tcBorders>
              <w:top w:val="nil"/>
              <w:left w:val="nil"/>
              <w:bottom w:val="single" w:sz="4" w:space="0" w:color="auto"/>
              <w:right w:val="single" w:sz="4" w:space="0" w:color="auto"/>
            </w:tcBorders>
            <w:shd w:val="clear" w:color="auto" w:fill="A8D08D" w:themeFill="accent6" w:themeFillTint="99"/>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8D08D" w:themeFill="accent6" w:themeFillTint="99"/>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Unterschriebene Scans von gültigen Pässen oder Identitätskarten (ID: Vorder- und Rückseite) aller zur rechtskräftigen Unterzeichnung benötigten Personen</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6F4DE6" w:rsidP="001A0042">
            <w:pPr>
              <w:spacing w:after="0" w:line="240" w:lineRule="auto"/>
              <w:rPr>
                <w:rFonts w:eastAsia="Times New Roman" w:cstheme="minorHAnsi"/>
                <w:color w:val="000000"/>
                <w:sz w:val="28"/>
                <w:szCs w:val="28"/>
                <w:lang w:eastAsia="de-CH"/>
              </w:rPr>
            </w:pPr>
            <w:r>
              <w:rPr>
                <w:rFonts w:eastAsia="Times New Roman" w:cstheme="minorHAnsi"/>
                <w:color w:val="000000"/>
                <w:sz w:val="28"/>
                <w:szCs w:val="28"/>
                <w:lang w:eastAsia="de-CH"/>
              </w:rPr>
              <w:t>Dawa</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 xml:space="preserve">Unterschriebener Scans repräsentativer Bankkontoauszüge, insbesondere der </w:t>
            </w:r>
            <w:proofErr w:type="spellStart"/>
            <w:r w:rsidRPr="001A0042">
              <w:rPr>
                <w:rFonts w:eastAsia="Times New Roman" w:cstheme="minorHAnsi"/>
                <w:color w:val="000000"/>
                <w:sz w:val="28"/>
                <w:szCs w:val="28"/>
                <w:lang w:eastAsia="de-CH"/>
              </w:rPr>
              <w:t>Geschäftskonti</w:t>
            </w:r>
            <w:proofErr w:type="spellEnd"/>
            <w:r w:rsidRPr="001A0042">
              <w:rPr>
                <w:rFonts w:eastAsia="Times New Roman" w:cstheme="minorHAnsi"/>
                <w:color w:val="000000"/>
                <w:sz w:val="28"/>
                <w:szCs w:val="28"/>
                <w:lang w:eastAsia="de-CH"/>
              </w:rPr>
              <w:t xml:space="preserve"> per Jahresende, welche Geschäftsaufwand, Einnahmen sowie grösstes Guthaben ausweisen (gilt für alle Jahre 2020, 2019, 2018, je nach Gründungsdatum)</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Betreibungsregisterauszug des gesuchstellenden Unternehmens (nicht älter als ein Monat ab Datum der Gesucheinreichung) sowie im Fall von Sitzverlegungen im 2020 auch Betreibungsregisterauszüge der vorherigen Unternehmenssitze</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Nachweis der Überlebensfähigkeit inklusive Budget 2021 (es muss mindestens aufgezeigt werden, dass bei einer möglichen Aufhebung der gesundheitspolizeilichen Massnahmen spätestens ab Mitte 2021 mit den erwarteten Einnahmen und Ausgaben sowie dem beantragten Härtefallbeitrag ein Fortbestand des Unternehmens und – bei rückzahlbaren Hilfen – deren Rückzahlung realistisch erscheinen)</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Letzte definitive Steuererklärung </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w:t>
            </w:r>
            <w:proofErr w:type="spellStart"/>
            <w:r w:rsidRPr="001A0042">
              <w:rPr>
                <w:rFonts w:eastAsia="Times New Roman" w:cstheme="minorHAnsi"/>
                <w:color w:val="000000"/>
                <w:sz w:val="28"/>
                <w:szCs w:val="28"/>
                <w:lang w:eastAsia="de-CH"/>
              </w:rPr>
              <w:t>Akonto</w:t>
            </w:r>
            <w:proofErr w:type="spellEnd"/>
            <w:r w:rsidRPr="001A0042">
              <w:rPr>
                <w:rFonts w:eastAsia="Times New Roman" w:cstheme="minorHAnsi"/>
                <w:color w:val="000000"/>
                <w:sz w:val="28"/>
                <w:szCs w:val="28"/>
                <w:lang w:eastAsia="de-CH"/>
              </w:rPr>
              <w:t>)-Abrechnungen der AHV-Beiträge samt Bankbelegen der entsprechenden Überweisungen, soweit vorhanden (gilt für alle Jahre 2020, 2019 und 2018, je nach Gründungsdatum)</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r w:rsidR="001A0042" w:rsidRPr="001A0042" w:rsidTr="001A0042">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1A0042" w:rsidRPr="001A0042" w:rsidRDefault="001A0042" w:rsidP="001A0042">
            <w:pPr>
              <w:spacing w:after="0" w:line="240" w:lineRule="auto"/>
              <w:ind w:firstLineChars="100" w:firstLine="280"/>
              <w:rPr>
                <w:rFonts w:eastAsia="Times New Roman" w:cstheme="minorHAnsi"/>
                <w:color w:val="000000"/>
                <w:sz w:val="28"/>
                <w:szCs w:val="28"/>
                <w:lang w:eastAsia="de-CH"/>
              </w:rPr>
            </w:pPr>
            <w:r w:rsidRPr="001A0042">
              <w:rPr>
                <w:rFonts w:eastAsia="Times New Roman" w:cstheme="minorHAnsi"/>
                <w:color w:val="000000"/>
                <w:sz w:val="28"/>
                <w:szCs w:val="28"/>
                <w:lang w:eastAsia="de-CH"/>
              </w:rPr>
              <w:t>(</w:t>
            </w:r>
            <w:proofErr w:type="spellStart"/>
            <w:r w:rsidRPr="001A0042">
              <w:rPr>
                <w:rFonts w:eastAsia="Times New Roman" w:cstheme="minorHAnsi"/>
                <w:color w:val="000000"/>
                <w:sz w:val="28"/>
                <w:szCs w:val="28"/>
                <w:lang w:eastAsia="de-CH"/>
              </w:rPr>
              <w:t>Akonto</w:t>
            </w:r>
            <w:proofErr w:type="spellEnd"/>
            <w:r w:rsidRPr="001A0042">
              <w:rPr>
                <w:rFonts w:eastAsia="Times New Roman" w:cstheme="minorHAnsi"/>
                <w:color w:val="000000"/>
                <w:sz w:val="28"/>
                <w:szCs w:val="28"/>
                <w:lang w:eastAsia="de-CH"/>
              </w:rPr>
              <w:t>)-Abrechnungen der Pensionskassenbeiträge samt Bankbelegen der entsprechenden Überweisungen, soweit vorhanden (gilt für alle Jahre 2020, 2019 und 2018, je nach Gründungsdatum)</w:t>
            </w:r>
          </w:p>
        </w:tc>
        <w:tc>
          <w:tcPr>
            <w:tcW w:w="1701"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1A0042" w:rsidRPr="001A0042" w:rsidRDefault="001A0042" w:rsidP="001A0042">
            <w:pPr>
              <w:spacing w:after="0" w:line="240" w:lineRule="auto"/>
              <w:rPr>
                <w:rFonts w:eastAsia="Times New Roman" w:cstheme="minorHAnsi"/>
                <w:color w:val="000000"/>
                <w:sz w:val="28"/>
                <w:szCs w:val="28"/>
                <w:lang w:eastAsia="de-CH"/>
              </w:rPr>
            </w:pPr>
            <w:r w:rsidRPr="001A0042">
              <w:rPr>
                <w:rFonts w:eastAsia="Times New Roman" w:cstheme="minorHAnsi"/>
                <w:color w:val="000000"/>
                <w:sz w:val="28"/>
                <w:szCs w:val="28"/>
                <w:lang w:eastAsia="de-CH"/>
              </w:rPr>
              <w:t> </w:t>
            </w:r>
          </w:p>
        </w:tc>
      </w:tr>
    </w:tbl>
    <w:p w:rsidR="001A0042" w:rsidRPr="006309E3" w:rsidRDefault="001A0042">
      <w:pPr>
        <w:rPr>
          <w:rFonts w:cstheme="minorHAnsi"/>
          <w:sz w:val="28"/>
          <w:szCs w:val="28"/>
        </w:rPr>
      </w:pPr>
    </w:p>
    <w:tbl>
      <w:tblPr>
        <w:tblW w:w="10632" w:type="dxa"/>
        <w:tblInd w:w="-5" w:type="dxa"/>
        <w:tblCellMar>
          <w:left w:w="70" w:type="dxa"/>
          <w:right w:w="70" w:type="dxa"/>
        </w:tblCellMar>
        <w:tblLook w:val="04A0" w:firstRow="1" w:lastRow="0" w:firstColumn="1" w:lastColumn="0" w:noHBand="0" w:noVBand="1"/>
      </w:tblPr>
      <w:tblGrid>
        <w:gridCol w:w="7896"/>
        <w:gridCol w:w="1701"/>
        <w:gridCol w:w="1035"/>
      </w:tblGrid>
      <w:tr w:rsidR="00FD3B61" w:rsidRPr="00FD3B61" w:rsidTr="00FD3B61">
        <w:trPr>
          <w:trHeight w:val="360"/>
        </w:trPr>
        <w:tc>
          <w:tcPr>
            <w:tcW w:w="793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D3B61" w:rsidRPr="00FD3B61" w:rsidRDefault="00FD3B61" w:rsidP="00FD3B61">
            <w:pPr>
              <w:spacing w:after="0" w:line="240" w:lineRule="auto"/>
              <w:rPr>
                <w:rFonts w:eastAsia="Times New Roman" w:cstheme="minorHAnsi"/>
                <w:b/>
                <w:bCs/>
                <w:color w:val="000000"/>
                <w:sz w:val="28"/>
                <w:szCs w:val="28"/>
                <w:lang w:eastAsia="de-CH"/>
              </w:rPr>
            </w:pPr>
            <w:r w:rsidRPr="00FD3B61">
              <w:rPr>
                <w:rFonts w:eastAsia="Times New Roman" w:cstheme="minorHAnsi"/>
                <w:b/>
                <w:bCs/>
                <w:color w:val="000000"/>
                <w:sz w:val="28"/>
                <w:szCs w:val="28"/>
                <w:lang w:eastAsia="de-CH"/>
              </w:rPr>
              <w:t>Unternehmen mit Mehrwertsteuerpflicht</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FD3B61" w:rsidRPr="00FD3B61" w:rsidRDefault="00FD3B61" w:rsidP="00FD3B61">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Wer</w:t>
            </w:r>
          </w:p>
        </w:tc>
        <w:tc>
          <w:tcPr>
            <w:tcW w:w="993"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FD3B61" w:rsidRPr="00FD3B61" w:rsidRDefault="00FD3B61" w:rsidP="00FD3B61">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Erledigt</w:t>
            </w:r>
          </w:p>
        </w:tc>
      </w:tr>
      <w:tr w:rsidR="00FD3B61" w:rsidRPr="00FD3B61" w:rsidTr="00FD3B61">
        <w:trPr>
          <w:trHeight w:val="720"/>
        </w:trPr>
        <w:tc>
          <w:tcPr>
            <w:tcW w:w="7938" w:type="dxa"/>
            <w:tcBorders>
              <w:top w:val="nil"/>
              <w:left w:val="single" w:sz="4" w:space="0" w:color="auto"/>
              <w:bottom w:val="single" w:sz="4" w:space="0" w:color="auto"/>
              <w:right w:val="single" w:sz="4" w:space="0" w:color="auto"/>
            </w:tcBorders>
            <w:shd w:val="clear" w:color="auto" w:fill="auto"/>
            <w:hideMark/>
          </w:tcPr>
          <w:p w:rsidR="00FD3B61" w:rsidRPr="00FD3B61" w:rsidRDefault="00FD3B61" w:rsidP="00FD3B61">
            <w:pPr>
              <w:spacing w:after="0" w:line="240" w:lineRule="auto"/>
              <w:ind w:firstLineChars="100" w:firstLine="280"/>
              <w:rPr>
                <w:rFonts w:eastAsia="Times New Roman" w:cstheme="minorHAnsi"/>
                <w:color w:val="000000"/>
                <w:sz w:val="28"/>
                <w:szCs w:val="28"/>
                <w:lang w:eastAsia="de-CH"/>
              </w:rPr>
            </w:pPr>
            <w:r w:rsidRPr="00FD3B61">
              <w:rPr>
                <w:rFonts w:eastAsia="Times New Roman" w:cstheme="minorHAnsi"/>
                <w:color w:val="000000"/>
                <w:sz w:val="28"/>
                <w:szCs w:val="28"/>
                <w:lang w:eastAsia="de-CH"/>
              </w:rPr>
              <w:t>Unterschriebene MWST-Abrechnungen 2018 und 2019 (alle Quartale)</w:t>
            </w:r>
          </w:p>
        </w:tc>
        <w:tc>
          <w:tcPr>
            <w:tcW w:w="1701"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r>
      <w:tr w:rsidR="00FD3B61" w:rsidRPr="00FD3B61" w:rsidTr="00FD3B61">
        <w:trPr>
          <w:trHeight w:val="720"/>
        </w:trPr>
        <w:tc>
          <w:tcPr>
            <w:tcW w:w="7938" w:type="dxa"/>
            <w:tcBorders>
              <w:top w:val="nil"/>
              <w:left w:val="single" w:sz="4" w:space="0" w:color="auto"/>
              <w:bottom w:val="single" w:sz="4" w:space="0" w:color="auto"/>
              <w:right w:val="single" w:sz="4" w:space="0" w:color="auto"/>
            </w:tcBorders>
            <w:shd w:val="clear" w:color="auto" w:fill="auto"/>
            <w:hideMark/>
          </w:tcPr>
          <w:p w:rsidR="00FD3B61" w:rsidRPr="00FD3B61" w:rsidRDefault="00FD3B61" w:rsidP="00FD3B61">
            <w:pPr>
              <w:spacing w:after="0" w:line="240" w:lineRule="auto"/>
              <w:ind w:firstLineChars="100" w:firstLine="280"/>
              <w:rPr>
                <w:rFonts w:eastAsia="Times New Roman" w:cstheme="minorHAnsi"/>
                <w:color w:val="000000"/>
                <w:sz w:val="28"/>
                <w:szCs w:val="28"/>
                <w:lang w:eastAsia="de-CH"/>
              </w:rPr>
            </w:pPr>
            <w:r w:rsidRPr="00FD3B61">
              <w:rPr>
                <w:rFonts w:eastAsia="Times New Roman" w:cstheme="minorHAnsi"/>
                <w:color w:val="000000"/>
                <w:sz w:val="28"/>
                <w:szCs w:val="28"/>
                <w:lang w:eastAsia="de-CH"/>
              </w:rPr>
              <w:t>Unterschriebene MWST-Abrechnung 2020 (für mindestens drei Quartale)</w:t>
            </w:r>
          </w:p>
        </w:tc>
        <w:tc>
          <w:tcPr>
            <w:tcW w:w="1701"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r>
    </w:tbl>
    <w:p w:rsidR="001A0042" w:rsidRPr="006309E3" w:rsidRDefault="001A0042">
      <w:pPr>
        <w:rPr>
          <w:rFonts w:cstheme="minorHAnsi"/>
          <w:sz w:val="28"/>
          <w:szCs w:val="28"/>
        </w:rPr>
      </w:pPr>
    </w:p>
    <w:tbl>
      <w:tblPr>
        <w:tblW w:w="10632" w:type="dxa"/>
        <w:tblInd w:w="-5" w:type="dxa"/>
        <w:tblCellMar>
          <w:left w:w="70" w:type="dxa"/>
          <w:right w:w="70" w:type="dxa"/>
        </w:tblCellMar>
        <w:tblLook w:val="04A0" w:firstRow="1" w:lastRow="0" w:firstColumn="1" w:lastColumn="0" w:noHBand="0" w:noVBand="1"/>
      </w:tblPr>
      <w:tblGrid>
        <w:gridCol w:w="7896"/>
        <w:gridCol w:w="1701"/>
        <w:gridCol w:w="1035"/>
      </w:tblGrid>
      <w:tr w:rsidR="00FD3B61" w:rsidRPr="00FD3B61" w:rsidTr="00FD3B61">
        <w:trPr>
          <w:trHeight w:val="360"/>
        </w:trPr>
        <w:tc>
          <w:tcPr>
            <w:tcW w:w="793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D3B61" w:rsidRPr="00FD3B61" w:rsidRDefault="00FD3B61" w:rsidP="00FD3B61">
            <w:pPr>
              <w:spacing w:after="0" w:line="240" w:lineRule="auto"/>
              <w:rPr>
                <w:rFonts w:eastAsia="Times New Roman" w:cstheme="minorHAnsi"/>
                <w:b/>
                <w:bCs/>
                <w:color w:val="000000"/>
                <w:sz w:val="28"/>
                <w:szCs w:val="28"/>
                <w:lang w:eastAsia="de-CH"/>
              </w:rPr>
            </w:pPr>
            <w:r w:rsidRPr="00FD3B61">
              <w:rPr>
                <w:rFonts w:eastAsia="Times New Roman" w:cstheme="minorHAnsi"/>
                <w:b/>
                <w:bCs/>
                <w:color w:val="000000"/>
                <w:sz w:val="28"/>
                <w:szCs w:val="28"/>
                <w:lang w:eastAsia="de-CH"/>
              </w:rPr>
              <w:lastRenderedPageBreak/>
              <w:t>Belege Jahresrechnungen</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FD3B61" w:rsidRPr="00FD3B61" w:rsidRDefault="00FD3B61" w:rsidP="00FD3B61">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Wer</w:t>
            </w:r>
          </w:p>
        </w:tc>
        <w:tc>
          <w:tcPr>
            <w:tcW w:w="993"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FD3B61" w:rsidRPr="00FD3B61" w:rsidRDefault="00FD3B61" w:rsidP="00FD3B61">
            <w:pPr>
              <w:spacing w:after="0" w:line="240" w:lineRule="auto"/>
              <w:rPr>
                <w:rFonts w:eastAsia="Times New Roman" w:cstheme="minorHAnsi"/>
                <w:b/>
                <w:color w:val="000000"/>
                <w:sz w:val="28"/>
                <w:szCs w:val="28"/>
                <w:lang w:eastAsia="de-CH"/>
              </w:rPr>
            </w:pPr>
            <w:r w:rsidRPr="006309E3">
              <w:rPr>
                <w:rFonts w:eastAsia="Times New Roman" w:cstheme="minorHAnsi"/>
                <w:b/>
                <w:color w:val="000000"/>
                <w:sz w:val="28"/>
                <w:szCs w:val="28"/>
                <w:lang w:eastAsia="de-CH"/>
              </w:rPr>
              <w:t>Erledigt</w:t>
            </w:r>
          </w:p>
        </w:tc>
      </w:tr>
      <w:tr w:rsidR="00FD3B61" w:rsidRPr="00FD3B61" w:rsidTr="007E29C4">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FD3B61" w:rsidRPr="00FD3B61" w:rsidRDefault="00FD3B61" w:rsidP="00FD3B61">
            <w:pPr>
              <w:spacing w:after="0" w:line="240" w:lineRule="auto"/>
              <w:ind w:firstLineChars="100" w:firstLine="280"/>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c>
          <w:tcPr>
            <w:tcW w:w="1701"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r>
      <w:tr w:rsidR="00FD3B61" w:rsidRPr="00FD3B61" w:rsidTr="007E29C4">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FD3B61" w:rsidRPr="00FD3B61" w:rsidRDefault="00FD3B61" w:rsidP="00FD3B61">
            <w:pPr>
              <w:spacing w:after="0" w:line="240" w:lineRule="auto"/>
              <w:ind w:firstLineChars="100" w:firstLine="280"/>
              <w:rPr>
                <w:rFonts w:eastAsia="Times New Roman" w:cstheme="minorHAnsi"/>
                <w:color w:val="000000"/>
                <w:sz w:val="28"/>
                <w:szCs w:val="28"/>
                <w:lang w:eastAsia="de-CH"/>
              </w:rPr>
            </w:pPr>
            <w:r w:rsidRPr="00FD3B61">
              <w:rPr>
                <w:rFonts w:eastAsia="Times New Roman" w:cstheme="minorHAnsi"/>
                <w:color w:val="000000"/>
                <w:sz w:val="28"/>
                <w:szCs w:val="28"/>
                <w:lang w:eastAsia="de-CH"/>
              </w:rPr>
              <w:t>Revidierte Jahresrechnungen (wenn nicht vorhanden: unterschriebene Jahresrechnungen) mit ersichtlichem Ausweis der angegebenen Jahresumsätze 2018 und 2019 (Auszug aus Buchhaltungssystem, Einnahmen/Ausgabenrechnung, Bilanz, soweit diese vorliegen) sowie vollständiger Spartenaufteilung im Fall einer Spartenrechnung gemäss Artikel 12 Abs. 2</w:t>
            </w:r>
            <w:r w:rsidRPr="00FD3B61">
              <w:rPr>
                <w:rFonts w:eastAsia="Times New Roman" w:cstheme="minorHAnsi"/>
                <w:color w:val="000000"/>
                <w:sz w:val="28"/>
                <w:szCs w:val="28"/>
                <w:vertAlign w:val="superscript"/>
                <w:lang w:eastAsia="de-CH"/>
              </w:rPr>
              <w:t>ter</w:t>
            </w:r>
            <w:r w:rsidRPr="00FD3B61">
              <w:rPr>
                <w:rFonts w:eastAsia="Times New Roman" w:cstheme="minorHAnsi"/>
                <w:color w:val="000000"/>
                <w:sz w:val="28"/>
                <w:szCs w:val="28"/>
                <w:lang w:eastAsia="de-CH"/>
              </w:rPr>
              <w:t> Covid-19-Gesetz</w:t>
            </w:r>
          </w:p>
        </w:tc>
        <w:tc>
          <w:tcPr>
            <w:tcW w:w="1701"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r>
      <w:tr w:rsidR="00FD3B61" w:rsidRPr="00FD3B61" w:rsidTr="007E29C4">
        <w:trPr>
          <w:trHeight w:val="20"/>
        </w:trPr>
        <w:tc>
          <w:tcPr>
            <w:tcW w:w="7938" w:type="dxa"/>
            <w:tcBorders>
              <w:top w:val="nil"/>
              <w:left w:val="single" w:sz="4" w:space="0" w:color="auto"/>
              <w:bottom w:val="single" w:sz="4" w:space="0" w:color="auto"/>
              <w:right w:val="single" w:sz="4" w:space="0" w:color="auto"/>
            </w:tcBorders>
            <w:shd w:val="clear" w:color="auto" w:fill="auto"/>
            <w:hideMark/>
          </w:tcPr>
          <w:p w:rsidR="00FD3B61" w:rsidRPr="00FD3B61" w:rsidRDefault="00FD3B61" w:rsidP="00FD3B61">
            <w:pPr>
              <w:spacing w:after="0" w:line="240" w:lineRule="auto"/>
              <w:ind w:firstLineChars="100" w:firstLine="280"/>
              <w:rPr>
                <w:rFonts w:eastAsia="Times New Roman" w:cstheme="minorHAnsi"/>
                <w:color w:val="000000"/>
                <w:sz w:val="28"/>
                <w:szCs w:val="28"/>
                <w:lang w:eastAsia="de-CH"/>
              </w:rPr>
            </w:pPr>
            <w:r w:rsidRPr="00FD3B61">
              <w:rPr>
                <w:rFonts w:eastAsia="Times New Roman" w:cstheme="minorHAnsi"/>
                <w:color w:val="000000"/>
                <w:sz w:val="28"/>
                <w:szCs w:val="28"/>
                <w:lang w:eastAsia="de-CH"/>
              </w:rPr>
              <w:t>Unterschriebene Jahresrechnung 2020 mit ersichtlichem Ausweis des Umsatzes, der Kurzarbeits- und Corona-</w:t>
            </w:r>
            <w:proofErr w:type="spellStart"/>
            <w:r w:rsidRPr="00FD3B61">
              <w:rPr>
                <w:rFonts w:eastAsia="Times New Roman" w:cstheme="minorHAnsi"/>
                <w:color w:val="000000"/>
                <w:sz w:val="28"/>
                <w:szCs w:val="28"/>
                <w:lang w:eastAsia="de-CH"/>
              </w:rPr>
              <w:t>Erwerbsersatzsentschädigungen</w:t>
            </w:r>
            <w:proofErr w:type="spellEnd"/>
            <w:r w:rsidRPr="00FD3B61">
              <w:rPr>
                <w:rFonts w:eastAsia="Times New Roman" w:cstheme="minorHAnsi"/>
                <w:color w:val="000000"/>
                <w:sz w:val="28"/>
                <w:szCs w:val="28"/>
                <w:lang w:eastAsia="de-CH"/>
              </w:rPr>
              <w:t xml:space="preserve"> (Auszug aus Buchhaltungssystem, Einnahmen/Ausgabenrechnung, Bilanz, soweit diese vorliegen) sowie vollständiger Spartenaufteilung im Fall einer Spartenrechnung gemäss Art. 12 Abs. 2</w:t>
            </w:r>
            <w:r w:rsidRPr="00FD3B61">
              <w:rPr>
                <w:rFonts w:eastAsia="Times New Roman" w:cstheme="minorHAnsi"/>
                <w:color w:val="000000"/>
                <w:sz w:val="28"/>
                <w:szCs w:val="28"/>
                <w:vertAlign w:val="superscript"/>
                <w:lang w:eastAsia="de-CH"/>
              </w:rPr>
              <w:t>ter</w:t>
            </w:r>
            <w:r w:rsidRPr="00FD3B61">
              <w:rPr>
                <w:rFonts w:eastAsia="Times New Roman" w:cstheme="minorHAnsi"/>
                <w:color w:val="000000"/>
                <w:sz w:val="28"/>
                <w:szCs w:val="28"/>
                <w:lang w:eastAsia="de-CH"/>
              </w:rPr>
              <w:t> Covid-19-Gesetz</w:t>
            </w:r>
          </w:p>
        </w:tc>
        <w:tc>
          <w:tcPr>
            <w:tcW w:w="1701"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c>
          <w:tcPr>
            <w:tcW w:w="993" w:type="dxa"/>
            <w:tcBorders>
              <w:top w:val="nil"/>
              <w:left w:val="nil"/>
              <w:bottom w:val="single" w:sz="4" w:space="0" w:color="auto"/>
              <w:right w:val="single" w:sz="4" w:space="0" w:color="auto"/>
            </w:tcBorders>
            <w:shd w:val="clear" w:color="auto" w:fill="auto"/>
            <w:noWrap/>
            <w:vAlign w:val="bottom"/>
            <w:hideMark/>
          </w:tcPr>
          <w:p w:rsidR="00FD3B61" w:rsidRPr="00FD3B61" w:rsidRDefault="00FD3B61" w:rsidP="00FD3B61">
            <w:pPr>
              <w:spacing w:after="0" w:line="240" w:lineRule="auto"/>
              <w:rPr>
                <w:rFonts w:eastAsia="Times New Roman" w:cstheme="minorHAnsi"/>
                <w:color w:val="000000"/>
                <w:sz w:val="28"/>
                <w:szCs w:val="28"/>
                <w:lang w:eastAsia="de-CH"/>
              </w:rPr>
            </w:pPr>
            <w:r w:rsidRPr="00FD3B61">
              <w:rPr>
                <w:rFonts w:eastAsia="Times New Roman" w:cstheme="minorHAnsi"/>
                <w:color w:val="000000"/>
                <w:sz w:val="28"/>
                <w:szCs w:val="28"/>
                <w:lang w:eastAsia="de-CH"/>
              </w:rPr>
              <w:t> </w:t>
            </w:r>
          </w:p>
        </w:tc>
      </w:tr>
    </w:tbl>
    <w:p w:rsidR="001A0042" w:rsidRPr="006309E3" w:rsidRDefault="001A0042">
      <w:pPr>
        <w:rPr>
          <w:rFonts w:cstheme="minorHAnsi"/>
          <w:sz w:val="28"/>
          <w:szCs w:val="28"/>
        </w:rPr>
      </w:pPr>
    </w:p>
    <w:sectPr w:rsidR="001A0042" w:rsidRPr="006309E3" w:rsidSect="001A0042">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42"/>
    <w:rsid w:val="001A0042"/>
    <w:rsid w:val="005103F1"/>
    <w:rsid w:val="006309E3"/>
    <w:rsid w:val="006B27A8"/>
    <w:rsid w:val="006F4DE6"/>
    <w:rsid w:val="00786DDD"/>
    <w:rsid w:val="007E29C4"/>
    <w:rsid w:val="009D1738"/>
    <w:rsid w:val="00A97187"/>
    <w:rsid w:val="00E90CC3"/>
    <w:rsid w:val="00FD3B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EB62F-034E-4801-98A1-F88D673D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713">
      <w:bodyDiv w:val="1"/>
      <w:marLeft w:val="0"/>
      <w:marRight w:val="0"/>
      <w:marTop w:val="0"/>
      <w:marBottom w:val="0"/>
      <w:divBdr>
        <w:top w:val="none" w:sz="0" w:space="0" w:color="auto"/>
        <w:left w:val="none" w:sz="0" w:space="0" w:color="auto"/>
        <w:bottom w:val="none" w:sz="0" w:space="0" w:color="auto"/>
        <w:right w:val="none" w:sz="0" w:space="0" w:color="auto"/>
      </w:divBdr>
    </w:div>
    <w:div w:id="868565064">
      <w:bodyDiv w:val="1"/>
      <w:marLeft w:val="0"/>
      <w:marRight w:val="0"/>
      <w:marTop w:val="0"/>
      <w:marBottom w:val="0"/>
      <w:divBdr>
        <w:top w:val="none" w:sz="0" w:space="0" w:color="auto"/>
        <w:left w:val="none" w:sz="0" w:space="0" w:color="auto"/>
        <w:bottom w:val="none" w:sz="0" w:space="0" w:color="auto"/>
        <w:right w:val="none" w:sz="0" w:space="0" w:color="auto"/>
      </w:divBdr>
    </w:div>
    <w:div w:id="1207251770">
      <w:bodyDiv w:val="1"/>
      <w:marLeft w:val="0"/>
      <w:marRight w:val="0"/>
      <w:marTop w:val="0"/>
      <w:marBottom w:val="0"/>
      <w:divBdr>
        <w:top w:val="none" w:sz="0" w:space="0" w:color="auto"/>
        <w:left w:val="none" w:sz="0" w:space="0" w:color="auto"/>
        <w:bottom w:val="none" w:sz="0" w:space="0" w:color="auto"/>
        <w:right w:val="none" w:sz="0" w:space="0" w:color="auto"/>
      </w:divBdr>
    </w:div>
    <w:div w:id="1342901571">
      <w:bodyDiv w:val="1"/>
      <w:marLeft w:val="0"/>
      <w:marRight w:val="0"/>
      <w:marTop w:val="0"/>
      <w:marBottom w:val="0"/>
      <w:divBdr>
        <w:top w:val="none" w:sz="0" w:space="0" w:color="auto"/>
        <w:left w:val="none" w:sz="0" w:space="0" w:color="auto"/>
        <w:bottom w:val="none" w:sz="0" w:space="0" w:color="auto"/>
        <w:right w:val="none" w:sz="0" w:space="0" w:color="auto"/>
      </w:divBdr>
    </w:div>
    <w:div w:id="15435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Dawa-Neu07012021</dc:creator>
  <cp:keywords/>
  <dc:description/>
  <cp:lastModifiedBy>Dawa-Neu07012021</cp:lastModifiedBy>
  <cp:revision>2</cp:revision>
  <dcterms:created xsi:type="dcterms:W3CDTF">2021-01-19T08:51:00Z</dcterms:created>
  <dcterms:modified xsi:type="dcterms:W3CDTF">2021-01-19T08:51:00Z</dcterms:modified>
</cp:coreProperties>
</file>